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3FD8B" w14:textId="77777777" w:rsidR="00766F60" w:rsidRPr="00D411AD" w:rsidRDefault="00766F60" w:rsidP="00766F60">
      <w:pPr>
        <w:jc w:val="center"/>
        <w:rPr>
          <w:b/>
          <w:bCs/>
          <w:sz w:val="36"/>
          <w:szCs w:val="36"/>
          <w:u w:val="single"/>
        </w:rPr>
      </w:pPr>
      <w:r w:rsidRPr="00D411AD">
        <w:rPr>
          <w:b/>
          <w:bCs/>
          <w:sz w:val="36"/>
          <w:szCs w:val="36"/>
          <w:u w:val="single"/>
        </w:rPr>
        <w:t>Často kladené dotazy</w:t>
      </w:r>
    </w:p>
    <w:p w14:paraId="112F0937" w14:textId="77777777" w:rsidR="000035B7" w:rsidRPr="000035B7" w:rsidRDefault="00766F60" w:rsidP="000035B7">
      <w:pPr>
        <w:jc w:val="center"/>
        <w:rPr>
          <w:sz w:val="36"/>
          <w:szCs w:val="36"/>
          <w:u w:val="single"/>
        </w:rPr>
      </w:pPr>
      <w:r w:rsidRPr="00797053">
        <w:rPr>
          <w:sz w:val="36"/>
          <w:szCs w:val="36"/>
          <w:u w:val="single"/>
        </w:rPr>
        <w:t xml:space="preserve">Výzva </w:t>
      </w:r>
      <w:r w:rsidR="00797053" w:rsidRPr="00797053">
        <w:rPr>
          <w:sz w:val="36"/>
          <w:szCs w:val="36"/>
          <w:u w:val="single"/>
        </w:rPr>
        <w:t>„</w:t>
      </w:r>
      <w:r w:rsidR="000035B7" w:rsidRPr="000035B7">
        <w:rPr>
          <w:sz w:val="36"/>
          <w:szCs w:val="36"/>
          <w:u w:val="single"/>
        </w:rPr>
        <w:t>ZLEPŠENÍ ZDRAVÍ, HYGIENY A SANITACE VE WOREDĚ HAWASSA ZURIYA,</w:t>
      </w:r>
    </w:p>
    <w:p w14:paraId="2382B289" w14:textId="54812E23" w:rsidR="00766F60" w:rsidRPr="00797053" w:rsidRDefault="000035B7" w:rsidP="000035B7">
      <w:pPr>
        <w:jc w:val="center"/>
        <w:rPr>
          <w:sz w:val="36"/>
          <w:szCs w:val="36"/>
          <w:u w:val="single"/>
        </w:rPr>
      </w:pPr>
      <w:r w:rsidRPr="000035B7">
        <w:rPr>
          <w:sz w:val="36"/>
          <w:szCs w:val="36"/>
          <w:u w:val="single"/>
        </w:rPr>
        <w:t>REGIONU SIDAMA, ETIOPIE</w:t>
      </w:r>
      <w:r w:rsidR="00797053" w:rsidRPr="00797053">
        <w:rPr>
          <w:sz w:val="36"/>
          <w:szCs w:val="36"/>
          <w:u w:val="single"/>
        </w:rPr>
        <w:t>“</w:t>
      </w:r>
    </w:p>
    <w:p w14:paraId="161FC374" w14:textId="7548375E" w:rsidR="003801E4" w:rsidRPr="007C732F" w:rsidRDefault="00766F60" w:rsidP="007C732F">
      <w:pPr>
        <w:jc w:val="center"/>
        <w:rPr>
          <w:sz w:val="36"/>
          <w:szCs w:val="36"/>
          <w:u w:val="single"/>
        </w:rPr>
      </w:pPr>
      <w:r>
        <w:rPr>
          <w:sz w:val="36"/>
          <w:szCs w:val="36"/>
          <w:u w:val="single"/>
        </w:rPr>
        <w:t>pro rok 2021</w:t>
      </w:r>
    </w:p>
    <w:tbl>
      <w:tblPr>
        <w:tblStyle w:val="Svtlmkatabulky"/>
        <w:tblW w:w="14545" w:type="dxa"/>
        <w:tblLook w:val="04A0" w:firstRow="1" w:lastRow="0" w:firstColumn="1" w:lastColumn="0" w:noHBand="0" w:noVBand="1"/>
      </w:tblPr>
      <w:tblGrid>
        <w:gridCol w:w="1595"/>
        <w:gridCol w:w="4137"/>
        <w:gridCol w:w="7378"/>
        <w:gridCol w:w="1435"/>
      </w:tblGrid>
      <w:tr w:rsidR="007C732F" w14:paraId="66BDD4DB" w14:textId="77777777" w:rsidTr="002D2F52">
        <w:trPr>
          <w:trHeight w:val="1063"/>
        </w:trPr>
        <w:tc>
          <w:tcPr>
            <w:tcW w:w="1595" w:type="dxa"/>
          </w:tcPr>
          <w:p w14:paraId="5B99EDAA" w14:textId="322DF2B6" w:rsidR="00766F60" w:rsidRPr="00766F60" w:rsidRDefault="00766F60" w:rsidP="00766F60">
            <w:pPr>
              <w:jc w:val="center"/>
              <w:rPr>
                <w:b/>
              </w:rPr>
            </w:pPr>
            <w:r w:rsidRPr="00766F60">
              <w:rPr>
                <w:b/>
              </w:rPr>
              <w:t xml:space="preserve">Datum </w:t>
            </w:r>
            <w:r w:rsidR="007C732F">
              <w:rPr>
                <w:b/>
              </w:rPr>
              <w:t xml:space="preserve">podání </w:t>
            </w:r>
            <w:r w:rsidR="00D411AD">
              <w:rPr>
                <w:b/>
              </w:rPr>
              <w:t>dotazu</w:t>
            </w:r>
          </w:p>
        </w:tc>
        <w:tc>
          <w:tcPr>
            <w:tcW w:w="4137" w:type="dxa"/>
          </w:tcPr>
          <w:p w14:paraId="3B3F7943" w14:textId="77777777" w:rsidR="00766F60" w:rsidRPr="00766F60" w:rsidRDefault="00766F60" w:rsidP="00766F60">
            <w:pPr>
              <w:jc w:val="center"/>
              <w:rPr>
                <w:b/>
              </w:rPr>
            </w:pPr>
            <w:r w:rsidRPr="00766F60">
              <w:rPr>
                <w:b/>
              </w:rPr>
              <w:t>Obsah dotazu</w:t>
            </w:r>
          </w:p>
        </w:tc>
        <w:tc>
          <w:tcPr>
            <w:tcW w:w="7378" w:type="dxa"/>
          </w:tcPr>
          <w:p w14:paraId="0D1BC567" w14:textId="77777777" w:rsidR="00766F60" w:rsidRPr="00766F60" w:rsidRDefault="00766F60" w:rsidP="00766F60">
            <w:pPr>
              <w:jc w:val="center"/>
              <w:rPr>
                <w:b/>
              </w:rPr>
            </w:pPr>
            <w:r w:rsidRPr="00766F60">
              <w:rPr>
                <w:b/>
              </w:rPr>
              <w:t>Obsah odpovědi</w:t>
            </w:r>
          </w:p>
        </w:tc>
        <w:tc>
          <w:tcPr>
            <w:tcW w:w="1435" w:type="dxa"/>
          </w:tcPr>
          <w:p w14:paraId="64DADADC" w14:textId="77777777" w:rsidR="007C732F" w:rsidRDefault="00766F60" w:rsidP="00766F60">
            <w:pPr>
              <w:jc w:val="center"/>
              <w:rPr>
                <w:b/>
              </w:rPr>
            </w:pPr>
            <w:r w:rsidRPr="00766F60">
              <w:rPr>
                <w:b/>
              </w:rPr>
              <w:t xml:space="preserve">Datum </w:t>
            </w:r>
            <w:r w:rsidR="007C732F">
              <w:rPr>
                <w:b/>
              </w:rPr>
              <w:t>podání</w:t>
            </w:r>
          </w:p>
          <w:p w14:paraId="7D70AD85" w14:textId="761A2A6F" w:rsidR="00766F60" w:rsidRPr="00766F60" w:rsidRDefault="00766F60" w:rsidP="00766F60">
            <w:pPr>
              <w:jc w:val="center"/>
              <w:rPr>
                <w:b/>
              </w:rPr>
            </w:pPr>
            <w:r w:rsidRPr="00766F60">
              <w:rPr>
                <w:b/>
              </w:rPr>
              <w:t>odpovědi</w:t>
            </w:r>
          </w:p>
        </w:tc>
      </w:tr>
      <w:tr w:rsidR="00AB6A72" w14:paraId="7FEFB80D" w14:textId="77777777" w:rsidTr="002D2F52">
        <w:trPr>
          <w:trHeight w:val="1404"/>
        </w:trPr>
        <w:tc>
          <w:tcPr>
            <w:tcW w:w="1595" w:type="dxa"/>
          </w:tcPr>
          <w:p w14:paraId="18F4A1D1" w14:textId="03770829" w:rsidR="00AB6A72" w:rsidRDefault="00222DB4" w:rsidP="00523F2B">
            <w:pPr>
              <w:jc w:val="center"/>
              <w:rPr>
                <w:bCs/>
              </w:rPr>
            </w:pPr>
            <w:r>
              <w:rPr>
                <w:bCs/>
              </w:rPr>
              <w:t>1.6.2021</w:t>
            </w:r>
          </w:p>
        </w:tc>
        <w:tc>
          <w:tcPr>
            <w:tcW w:w="4137" w:type="dxa"/>
          </w:tcPr>
          <w:p w14:paraId="70E9F016" w14:textId="0BADE7E5" w:rsidR="00AB6A72" w:rsidRPr="00104106" w:rsidRDefault="00222DB4" w:rsidP="00104106">
            <w:pPr>
              <w:spacing w:line="240" w:lineRule="auto"/>
              <w:jc w:val="both"/>
              <w:rPr>
                <w:rFonts w:ascii="Calibri" w:hAnsi="Calibri" w:cs="Calibri"/>
              </w:rPr>
            </w:pPr>
            <w:r w:rsidRPr="00104106">
              <w:rPr>
                <w:rFonts w:ascii="Calibri" w:hAnsi="Calibri" w:cs="Calibri"/>
              </w:rPr>
              <w:t>Je žadatel povinen podat v českém jazyce spolu s žádosti o dotaci pouze přílohy I. až VI., nebo musí být v českém jazyce dodány veškeré dokumenty zaslané v rámci výzvy (například přílohy Projektového dokumentu či CV/VŠ diplomy členů projektového týmu ze zahraničí)</w:t>
            </w:r>
          </w:p>
          <w:p w14:paraId="7BF07FB3" w14:textId="77777777" w:rsidR="00AB6A72" w:rsidRDefault="00AB6A72" w:rsidP="00222DB4">
            <w:pPr>
              <w:jc w:val="both"/>
            </w:pPr>
          </w:p>
        </w:tc>
        <w:tc>
          <w:tcPr>
            <w:tcW w:w="7378" w:type="dxa"/>
          </w:tcPr>
          <w:p w14:paraId="6B36EDDA" w14:textId="77777777" w:rsidR="00222DB4" w:rsidRDefault="00222DB4" w:rsidP="00104106">
            <w:pPr>
              <w:spacing w:line="240" w:lineRule="auto"/>
              <w:jc w:val="both"/>
            </w:pPr>
            <w:r>
              <w:rPr>
                <w:rFonts w:ascii="Calibri" w:hAnsi="Calibri" w:cs="Calibri"/>
                <w:color w:val="000000"/>
                <w:shd w:val="clear" w:color="auto" w:fill="FFFFFF"/>
              </w:rPr>
              <w:t>V českém jazyce je povinnost předložit žadatelem povinné přílohy I-VI žádosti o dotaci včetně administrativních dokladů (přílohy A-N).</w:t>
            </w:r>
          </w:p>
          <w:p w14:paraId="466A1093" w14:textId="77777777" w:rsidR="00222DB4" w:rsidRDefault="00222DB4" w:rsidP="00104106">
            <w:pPr>
              <w:spacing w:line="240" w:lineRule="auto"/>
              <w:jc w:val="both"/>
            </w:pPr>
            <w:r>
              <w:rPr>
                <w:rFonts w:ascii="Calibri" w:hAnsi="Calibri" w:cs="Calibri"/>
                <w:color w:val="000000"/>
                <w:shd w:val="clear" w:color="auto" w:fill="FFFFFF"/>
              </w:rPr>
              <w:t>Lze rovněž podat další doplňující přílohy ze strany žadatele nad rámec povinných příloh (mapová schémata, výsledky analýz, podpůrné studie, technické specifikace, potvrzení spolupráce partnerských organizací apod.), které lze předložit i v anglickém jazyce, pokud by byl jazykový překlad do češtiny časově i finančně náročný z důvodu většího rozsahu těchto dokumentů. Pro pokrytí nákladů na překladatelské služby můžete také využít položky Příprava projektu a pokud Vám bude dotace schválena, budou tyto výdaje uznatelné a oprávněně vynaložené.</w:t>
            </w:r>
          </w:p>
          <w:p w14:paraId="545FFFBF" w14:textId="5E6F3451" w:rsidR="00AB6A72" w:rsidRDefault="00AB6A72" w:rsidP="00222DB4"/>
        </w:tc>
        <w:tc>
          <w:tcPr>
            <w:tcW w:w="1435" w:type="dxa"/>
          </w:tcPr>
          <w:p w14:paraId="3A86483F" w14:textId="77777777" w:rsidR="00AB6A72" w:rsidRDefault="00222DB4" w:rsidP="00104106">
            <w:pPr>
              <w:jc w:val="center"/>
              <w:rPr>
                <w:bCs/>
              </w:rPr>
            </w:pPr>
            <w:r>
              <w:rPr>
                <w:bCs/>
              </w:rPr>
              <w:t>1.6.2021</w:t>
            </w:r>
          </w:p>
          <w:p w14:paraId="01E316D6" w14:textId="51264DB4" w:rsidR="00104106" w:rsidRDefault="00104106" w:rsidP="00104106">
            <w:pPr>
              <w:jc w:val="center"/>
              <w:rPr>
                <w:bCs/>
              </w:rPr>
            </w:pPr>
            <w:r>
              <w:rPr>
                <w:bCs/>
              </w:rPr>
              <w:t>(e-mail)</w:t>
            </w:r>
          </w:p>
        </w:tc>
      </w:tr>
      <w:tr w:rsidR="00E84E26" w14:paraId="7EC9FAE9" w14:textId="77777777" w:rsidTr="002D2F52">
        <w:trPr>
          <w:trHeight w:val="1404"/>
        </w:trPr>
        <w:tc>
          <w:tcPr>
            <w:tcW w:w="1595" w:type="dxa"/>
          </w:tcPr>
          <w:p w14:paraId="04F2E700" w14:textId="0923C377" w:rsidR="00E84E26" w:rsidRDefault="00E84E26" w:rsidP="00523F2B">
            <w:pPr>
              <w:jc w:val="center"/>
              <w:rPr>
                <w:bCs/>
              </w:rPr>
            </w:pPr>
            <w:r>
              <w:rPr>
                <w:bCs/>
              </w:rPr>
              <w:t>3.6.2021</w:t>
            </w:r>
          </w:p>
        </w:tc>
        <w:tc>
          <w:tcPr>
            <w:tcW w:w="4137" w:type="dxa"/>
          </w:tcPr>
          <w:p w14:paraId="75949542" w14:textId="4A4CD8E5" w:rsidR="00E84E26" w:rsidRPr="00104106" w:rsidRDefault="00E84E26" w:rsidP="00104106">
            <w:pPr>
              <w:spacing w:line="240" w:lineRule="auto"/>
              <w:jc w:val="both"/>
              <w:rPr>
                <w:rFonts w:ascii="Calibri" w:hAnsi="Calibri" w:cs="Calibri"/>
              </w:rPr>
            </w:pPr>
            <w:r>
              <w:rPr>
                <w:rFonts w:ascii="Calibri" w:hAnsi="Calibri" w:cs="Calibri"/>
              </w:rPr>
              <w:t>Je v pořádku, když se pro podpůrné administrativní pozice (např. v ČR nebo v Etiopii) vytvoří samostatná aktivní tabulka v rozpočtu dle aktivit 2021 s názvem „Průřezové aktivity/náklady“, kde budou tyto pozice (spolu s dalším výdaji, např. nájmem) vepsány?</w:t>
            </w:r>
          </w:p>
        </w:tc>
        <w:tc>
          <w:tcPr>
            <w:tcW w:w="7378" w:type="dxa"/>
          </w:tcPr>
          <w:p w14:paraId="7E07EACE" w14:textId="77777777" w:rsidR="00C01AEC" w:rsidRPr="00C01AEC" w:rsidRDefault="00C01AEC" w:rsidP="00C01AEC">
            <w:pPr>
              <w:spacing w:line="240" w:lineRule="auto"/>
              <w:jc w:val="both"/>
              <w:rPr>
                <w:rFonts w:ascii="Calibri" w:hAnsi="Calibri" w:cs="Calibri"/>
                <w:color w:val="000000"/>
                <w:shd w:val="clear" w:color="auto" w:fill="FFFFFF"/>
              </w:rPr>
            </w:pPr>
            <w:r w:rsidRPr="00C01AEC">
              <w:rPr>
                <w:rFonts w:ascii="Calibri" w:hAnsi="Calibri" w:cs="Calibri"/>
                <w:color w:val="000000"/>
                <w:shd w:val="clear" w:color="auto" w:fill="FFFFFF"/>
              </w:rPr>
              <w:t>V rozpočtu jsou těmto „průřezovým“ osobním nákladům již relevantní položky věnovány – konkrétně se v kapitole 1 – Osobní náklady jedná o oddíly 1.4 Administrativní zajištění projektu a 1.5 Podpůrný personál. Pokud je tento typ osobních nákladů pokrýván subdodávkami a musí být tedy dle vašich interních směrnic vykázán v kapitole 5, potom ano, prosíme o vytvoření aktivity 0.1 – Průřezové náklady a zařazení těchto pozic do této kapitoly.</w:t>
            </w:r>
          </w:p>
          <w:p w14:paraId="10C7D7C0" w14:textId="77777777" w:rsidR="00C01AEC" w:rsidRPr="00C01AEC" w:rsidRDefault="00C01AEC" w:rsidP="00C01AEC">
            <w:pPr>
              <w:spacing w:line="240" w:lineRule="auto"/>
              <w:jc w:val="both"/>
              <w:rPr>
                <w:rFonts w:ascii="Calibri" w:hAnsi="Calibri" w:cs="Calibri"/>
                <w:color w:val="000000"/>
                <w:shd w:val="clear" w:color="auto" w:fill="FFFFFF"/>
              </w:rPr>
            </w:pPr>
          </w:p>
          <w:p w14:paraId="602EEFE6" w14:textId="5DAC9E6A" w:rsidR="00E84E26" w:rsidRDefault="00C01AEC" w:rsidP="00C01AEC">
            <w:pPr>
              <w:spacing w:line="240" w:lineRule="auto"/>
              <w:jc w:val="both"/>
              <w:rPr>
                <w:rFonts w:ascii="Calibri" w:hAnsi="Calibri" w:cs="Calibri"/>
                <w:color w:val="000000"/>
                <w:shd w:val="clear" w:color="auto" w:fill="FFFFFF"/>
              </w:rPr>
            </w:pPr>
            <w:r w:rsidRPr="00C01AEC">
              <w:rPr>
                <w:rFonts w:ascii="Calibri" w:hAnsi="Calibri" w:cs="Calibri"/>
                <w:color w:val="000000"/>
                <w:shd w:val="clear" w:color="auto" w:fill="FFFFFF"/>
              </w:rPr>
              <w:t xml:space="preserve">Obecně platí, že osobní náklady na úrovni rozpočtu sledovat nepotřebujeme a po vás tuto úroveň detailu nevyžadujeme – proto je toto požadováno pouze na </w:t>
            </w:r>
            <w:r w:rsidRPr="00C01AEC">
              <w:rPr>
                <w:rFonts w:ascii="Calibri" w:hAnsi="Calibri" w:cs="Calibri"/>
                <w:color w:val="000000"/>
                <w:shd w:val="clear" w:color="auto" w:fill="FFFFFF"/>
              </w:rPr>
              <w:lastRenderedPageBreak/>
              <w:t>úrovni Projektového dokumentu (a pouze u projektového týmu/expertů), čistě pro informativní potřeby</w:t>
            </w:r>
          </w:p>
        </w:tc>
        <w:tc>
          <w:tcPr>
            <w:tcW w:w="1435" w:type="dxa"/>
          </w:tcPr>
          <w:p w14:paraId="03B62C31" w14:textId="77777777" w:rsidR="00E84E26" w:rsidRDefault="00E84E26" w:rsidP="00104106">
            <w:pPr>
              <w:jc w:val="center"/>
              <w:rPr>
                <w:bCs/>
              </w:rPr>
            </w:pPr>
          </w:p>
        </w:tc>
      </w:tr>
      <w:tr w:rsidR="00E84E26" w14:paraId="2A9094F0" w14:textId="77777777" w:rsidTr="002D2F52">
        <w:trPr>
          <w:trHeight w:val="1404"/>
        </w:trPr>
        <w:tc>
          <w:tcPr>
            <w:tcW w:w="1595" w:type="dxa"/>
          </w:tcPr>
          <w:p w14:paraId="2D4C4D06" w14:textId="77777777" w:rsidR="00E84E26" w:rsidRDefault="00E84E26" w:rsidP="00523F2B">
            <w:pPr>
              <w:jc w:val="center"/>
              <w:rPr>
                <w:bCs/>
              </w:rPr>
            </w:pPr>
          </w:p>
        </w:tc>
        <w:tc>
          <w:tcPr>
            <w:tcW w:w="4137" w:type="dxa"/>
          </w:tcPr>
          <w:p w14:paraId="6333B4AC" w14:textId="621D9231" w:rsidR="00E84E26" w:rsidRDefault="00E84E26" w:rsidP="00104106">
            <w:pPr>
              <w:spacing w:line="240" w:lineRule="auto"/>
              <w:jc w:val="both"/>
              <w:rPr>
                <w:rFonts w:ascii="Calibri" w:hAnsi="Calibri" w:cs="Calibri"/>
              </w:rPr>
            </w:pPr>
            <w:r>
              <w:rPr>
                <w:rFonts w:ascii="Calibri" w:hAnsi="Calibri" w:cs="Calibri"/>
              </w:rPr>
              <w:t>Lze vytvořit aktivní tabulku v rozpočtu dle aktivit 2021 s názvem „Přípravná fáze“, kam by se zahrnuly náklady na přípravu projektu na další roky? (Příprava projektu po další roky se totiž dle výzvy neváže na konkrétní aktivity)</w:t>
            </w:r>
            <w:r w:rsidR="00297428">
              <w:rPr>
                <w:rFonts w:ascii="Calibri" w:hAnsi="Calibri" w:cs="Calibri"/>
              </w:rPr>
              <w:t>. Je možné</w:t>
            </w:r>
            <w:r w:rsidR="00297428" w:rsidRPr="00E84E26">
              <w:rPr>
                <w:rFonts w:ascii="Calibri" w:hAnsi="Calibri" w:cs="Calibri"/>
              </w:rPr>
              <w:t xml:space="preserve"> vytvořit další aktivitní tabulku v rozpočtu dle aktivit 2021 s názvem „Monitoring/cestovné“ a </w:t>
            </w:r>
            <w:r w:rsidR="00297428">
              <w:rPr>
                <w:rFonts w:ascii="Calibri" w:hAnsi="Calibri" w:cs="Calibri"/>
              </w:rPr>
              <w:t xml:space="preserve">zahrnout </w:t>
            </w:r>
            <w:r w:rsidR="00297428" w:rsidRPr="00E84E26">
              <w:rPr>
                <w:rFonts w:ascii="Calibri" w:hAnsi="Calibri" w:cs="Calibri"/>
              </w:rPr>
              <w:t>do ní náklady kapitoly 2?</w:t>
            </w:r>
            <w:r w:rsidR="00297428">
              <w:rPr>
                <w:rFonts w:ascii="Calibri" w:hAnsi="Calibri" w:cs="Calibri"/>
              </w:rPr>
              <w:t xml:space="preserve"> (Kapitola 2 obsahuje náklady na monitoring/cestovné)</w:t>
            </w:r>
          </w:p>
        </w:tc>
        <w:tc>
          <w:tcPr>
            <w:tcW w:w="7378" w:type="dxa"/>
          </w:tcPr>
          <w:p w14:paraId="3D836B96" w14:textId="6B919B2F" w:rsidR="00AC5415" w:rsidRDefault="00AC5415" w:rsidP="00104106">
            <w:pPr>
              <w:spacing w:line="240" w:lineRule="auto"/>
              <w:jc w:val="both"/>
              <w:rPr>
                <w:rFonts w:ascii="Calibri" w:hAnsi="Calibri" w:cs="Calibri"/>
                <w:color w:val="000000"/>
                <w:shd w:val="clear" w:color="auto" w:fill="FFFFFF"/>
              </w:rPr>
            </w:pPr>
            <w:r w:rsidRPr="00AC5415">
              <w:rPr>
                <w:rFonts w:ascii="Calibri" w:hAnsi="Calibri" w:cs="Calibri"/>
                <w:color w:val="000000"/>
                <w:shd w:val="clear" w:color="auto" w:fill="FFFFFF"/>
              </w:rPr>
              <w:t>Obecně doporučujeme pro aktivity typu evaluace/monitoringu apod. vytvořit napříč projektovou dokumentací zvláštní „přípravnou aktivitu“ (optimálně číslované 0.1, 0.2…), která bude reflektována ve všech přílohách žádosti o dotaci vč. matice logického rámce či harmonogramu a bude mít řádně přiřazeny adekvátní zdroje ověření v tabulce výstupů a aktivit. V takovém případě potom lze veškeré přímé náklady vykázat v kapitole 6, příp. pokud bude realizováno subdodávkami, tak v kapitole 5 – tj. jediných kapitolách dělených na aktivity.</w:t>
            </w:r>
          </w:p>
          <w:p w14:paraId="5B618363" w14:textId="77777777" w:rsidR="00AC5415" w:rsidRDefault="00AC5415" w:rsidP="00104106">
            <w:pPr>
              <w:spacing w:line="240" w:lineRule="auto"/>
              <w:jc w:val="both"/>
              <w:rPr>
                <w:rFonts w:ascii="Calibri" w:hAnsi="Calibri" w:cs="Calibri"/>
                <w:color w:val="000000"/>
                <w:shd w:val="clear" w:color="auto" w:fill="FFFFFF"/>
              </w:rPr>
            </w:pPr>
          </w:p>
          <w:p w14:paraId="51A70DFD" w14:textId="75C32B50" w:rsidR="00E84E26" w:rsidRDefault="00297428" w:rsidP="00104106">
            <w:pPr>
              <w:spacing w:line="240" w:lineRule="auto"/>
              <w:jc w:val="both"/>
              <w:rPr>
                <w:rFonts w:ascii="Calibri" w:hAnsi="Calibri" w:cs="Calibri"/>
                <w:color w:val="000000"/>
                <w:shd w:val="clear" w:color="auto" w:fill="FFFFFF"/>
              </w:rPr>
            </w:pPr>
            <w:r w:rsidRPr="00297428">
              <w:rPr>
                <w:rFonts w:ascii="Calibri" w:hAnsi="Calibri" w:cs="Calibri"/>
                <w:color w:val="000000"/>
                <w:shd w:val="clear" w:color="auto" w:fill="FFFFFF"/>
              </w:rPr>
              <w:t>Cestovní náklady (kapitola 2) se v každém případě na aktivity nedělí, protože se předpokládá, že např. jedna cesta do místa realizace přispěje k realizaci celého spektra aktivit, a tudíž by pro nás nemělo žádnou přidanou hodnotu jeden takový náklad poměrně dělit na několik aktivit (podobný princip uplatňujeme též pro Osobní náklady, částečně viz odpověď na předešlou otázku). Výjimkou jsou osobní a cestovní náklady vykázané v rámci přípravy</w:t>
            </w:r>
            <w:r>
              <w:rPr>
                <w:rFonts w:ascii="Calibri" w:hAnsi="Calibri" w:cs="Calibri"/>
                <w:color w:val="000000"/>
                <w:shd w:val="clear" w:color="auto" w:fill="FFFFFF"/>
              </w:rPr>
              <w:t xml:space="preserve"> </w:t>
            </w:r>
            <w:r w:rsidRPr="00297428">
              <w:rPr>
                <w:rFonts w:ascii="Calibri" w:hAnsi="Calibri" w:cs="Calibri"/>
                <w:color w:val="000000"/>
                <w:shd w:val="clear" w:color="auto" w:fill="FFFFFF"/>
              </w:rPr>
              <w:t>žádosti o dotaci, pro něž je určen separátní list rozpočtu „náklady na přípravu“. Na úhradu těchto výdajů ovšem může uplatnit nárok pouze podpořený žadatel o dotaci.</w:t>
            </w:r>
          </w:p>
        </w:tc>
        <w:tc>
          <w:tcPr>
            <w:tcW w:w="1435" w:type="dxa"/>
          </w:tcPr>
          <w:p w14:paraId="10D08525" w14:textId="77777777" w:rsidR="00E84E26" w:rsidRDefault="00E84E26" w:rsidP="00104106">
            <w:pPr>
              <w:jc w:val="center"/>
              <w:rPr>
                <w:bCs/>
              </w:rPr>
            </w:pPr>
          </w:p>
        </w:tc>
      </w:tr>
    </w:tbl>
    <w:p w14:paraId="326DB5F0" w14:textId="77777777" w:rsidR="00766F60" w:rsidRDefault="00766F60" w:rsidP="00766F60">
      <w:bookmarkStart w:id="0" w:name="_GoBack"/>
      <w:bookmarkEnd w:id="0"/>
    </w:p>
    <w:sectPr w:rsidR="00766F60" w:rsidSect="00D411A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3230"/>
    <w:multiLevelType w:val="hybridMultilevel"/>
    <w:tmpl w:val="29B4241A"/>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290DF5"/>
    <w:multiLevelType w:val="hybridMultilevel"/>
    <w:tmpl w:val="9AE6F916"/>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546B65"/>
    <w:multiLevelType w:val="hybridMultilevel"/>
    <w:tmpl w:val="987401EE"/>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A714AC"/>
    <w:multiLevelType w:val="hybridMultilevel"/>
    <w:tmpl w:val="75B8B21A"/>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A004CB"/>
    <w:multiLevelType w:val="hybridMultilevel"/>
    <w:tmpl w:val="1B481672"/>
    <w:lvl w:ilvl="0" w:tplc="472E2FE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FDE336E"/>
    <w:multiLevelType w:val="hybridMultilevel"/>
    <w:tmpl w:val="BE3215BA"/>
    <w:lvl w:ilvl="0" w:tplc="A7C26D9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27217A"/>
    <w:multiLevelType w:val="hybridMultilevel"/>
    <w:tmpl w:val="E028097C"/>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76449C"/>
    <w:multiLevelType w:val="hybridMultilevel"/>
    <w:tmpl w:val="D0DAD86E"/>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CE3FDE"/>
    <w:multiLevelType w:val="hybridMultilevel"/>
    <w:tmpl w:val="AD922B5E"/>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FC32E7"/>
    <w:multiLevelType w:val="hybridMultilevel"/>
    <w:tmpl w:val="F3441D26"/>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9773A5"/>
    <w:multiLevelType w:val="hybridMultilevel"/>
    <w:tmpl w:val="C1B4B1B0"/>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611160"/>
    <w:multiLevelType w:val="hybridMultilevel"/>
    <w:tmpl w:val="98741A6E"/>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8C03D7"/>
    <w:multiLevelType w:val="hybridMultilevel"/>
    <w:tmpl w:val="0B9A67A6"/>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42C4653"/>
    <w:multiLevelType w:val="hybridMultilevel"/>
    <w:tmpl w:val="66EC04D8"/>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86D3CDD"/>
    <w:multiLevelType w:val="hybridMultilevel"/>
    <w:tmpl w:val="3CD41BEC"/>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DE510AE"/>
    <w:multiLevelType w:val="hybridMultilevel"/>
    <w:tmpl w:val="252A0206"/>
    <w:lvl w:ilvl="0" w:tplc="472E2F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E1E070B"/>
    <w:multiLevelType w:val="hybridMultilevel"/>
    <w:tmpl w:val="26166EAE"/>
    <w:lvl w:ilvl="0" w:tplc="A7C26D9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0"/>
  </w:num>
  <w:num w:numId="4">
    <w:abstractNumId w:val="15"/>
  </w:num>
  <w:num w:numId="5">
    <w:abstractNumId w:val="7"/>
  </w:num>
  <w:num w:numId="6">
    <w:abstractNumId w:val="14"/>
  </w:num>
  <w:num w:numId="7">
    <w:abstractNumId w:val="11"/>
  </w:num>
  <w:num w:numId="8">
    <w:abstractNumId w:val="2"/>
  </w:num>
  <w:num w:numId="9">
    <w:abstractNumId w:val="10"/>
  </w:num>
  <w:num w:numId="10">
    <w:abstractNumId w:val="13"/>
  </w:num>
  <w:num w:numId="11">
    <w:abstractNumId w:val="1"/>
  </w:num>
  <w:num w:numId="12">
    <w:abstractNumId w:val="9"/>
  </w:num>
  <w:num w:numId="13">
    <w:abstractNumId w:val="8"/>
  </w:num>
  <w:num w:numId="14">
    <w:abstractNumId w:val="3"/>
  </w:num>
  <w:num w:numId="15">
    <w:abstractNumId w:val="6"/>
  </w:num>
  <w:num w:numId="16">
    <w:abstractNumId w:val="12"/>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60"/>
    <w:rsid w:val="000035B7"/>
    <w:rsid w:val="00060D91"/>
    <w:rsid w:val="00104106"/>
    <w:rsid w:val="00222DB4"/>
    <w:rsid w:val="00265FA3"/>
    <w:rsid w:val="00297428"/>
    <w:rsid w:val="002B6982"/>
    <w:rsid w:val="002D2F52"/>
    <w:rsid w:val="00315319"/>
    <w:rsid w:val="00350BAD"/>
    <w:rsid w:val="003801E4"/>
    <w:rsid w:val="00424007"/>
    <w:rsid w:val="00427EC3"/>
    <w:rsid w:val="004802E8"/>
    <w:rsid w:val="004A1738"/>
    <w:rsid w:val="004B1A27"/>
    <w:rsid w:val="00523F2B"/>
    <w:rsid w:val="005A14B6"/>
    <w:rsid w:val="005F6F71"/>
    <w:rsid w:val="00627BF7"/>
    <w:rsid w:val="006E0406"/>
    <w:rsid w:val="007066EB"/>
    <w:rsid w:val="00712C1A"/>
    <w:rsid w:val="00756ACD"/>
    <w:rsid w:val="00766F60"/>
    <w:rsid w:val="007846F5"/>
    <w:rsid w:val="00797053"/>
    <w:rsid w:val="007C732F"/>
    <w:rsid w:val="007E4C28"/>
    <w:rsid w:val="008279FD"/>
    <w:rsid w:val="00856E7E"/>
    <w:rsid w:val="00970081"/>
    <w:rsid w:val="00A030B0"/>
    <w:rsid w:val="00A33F5E"/>
    <w:rsid w:val="00AA1451"/>
    <w:rsid w:val="00AB6A72"/>
    <w:rsid w:val="00AC5415"/>
    <w:rsid w:val="00AF1931"/>
    <w:rsid w:val="00B1238E"/>
    <w:rsid w:val="00B53F16"/>
    <w:rsid w:val="00BF6792"/>
    <w:rsid w:val="00C01AEC"/>
    <w:rsid w:val="00C03BF7"/>
    <w:rsid w:val="00C55FC1"/>
    <w:rsid w:val="00D016EF"/>
    <w:rsid w:val="00D12D24"/>
    <w:rsid w:val="00D411AD"/>
    <w:rsid w:val="00D949EE"/>
    <w:rsid w:val="00E84301"/>
    <w:rsid w:val="00E84E26"/>
    <w:rsid w:val="00E92DCE"/>
    <w:rsid w:val="00E95BF5"/>
    <w:rsid w:val="00F24DBC"/>
    <w:rsid w:val="00F434C7"/>
    <w:rsid w:val="00F876B5"/>
    <w:rsid w:val="166BEA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5919"/>
  <w15:chartTrackingRefBased/>
  <w15:docId w15:val="{E149E6EC-72A3-4F90-B060-8E4105AC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6F60"/>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eznamu6zvraznn3">
    <w:name w:val="List Table 6 Colorful Accent 3"/>
    <w:basedOn w:val="Normlntabulka"/>
    <w:uiPriority w:val="51"/>
    <w:rsid w:val="00766F6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Svtlmkatabulky">
    <w:name w:val="Grid Table Light"/>
    <w:basedOn w:val="Normlntabulka"/>
    <w:uiPriority w:val="40"/>
    <w:rsid w:val="00766F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cseseznamem">
    <w:name w:val="List Paragraph"/>
    <w:basedOn w:val="Normln"/>
    <w:uiPriority w:val="34"/>
    <w:qFormat/>
    <w:rsid w:val="00B53F16"/>
    <w:pPr>
      <w:ind w:left="720"/>
      <w:contextualSpacing/>
    </w:pPr>
  </w:style>
  <w:style w:type="paragraph" w:styleId="Normlnweb">
    <w:name w:val="Normal (Web)"/>
    <w:basedOn w:val="Normln"/>
    <w:uiPriority w:val="99"/>
    <w:unhideWhenUsed/>
    <w:rsid w:val="006E04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797053"/>
    <w:pPr>
      <w:spacing w:after="0" w:line="240" w:lineRule="auto"/>
    </w:pPr>
    <w:rPr>
      <w:rFonts w:ascii="Calibri" w:hAnsi="Calibri" w:cs="Calibri"/>
      <w:lang w:eastAsia="cs-CZ"/>
    </w:rPr>
  </w:style>
  <w:style w:type="character" w:styleId="Hypertextovodkaz">
    <w:name w:val="Hyperlink"/>
    <w:basedOn w:val="Standardnpsmoodstavce"/>
    <w:uiPriority w:val="99"/>
    <w:semiHidden/>
    <w:unhideWhenUsed/>
    <w:rsid w:val="00AA1451"/>
    <w:rPr>
      <w:color w:val="0563C1"/>
      <w:u w:val="single"/>
    </w:rPr>
  </w:style>
  <w:style w:type="character" w:styleId="Siln">
    <w:name w:val="Strong"/>
    <w:basedOn w:val="Standardnpsmoodstavce"/>
    <w:uiPriority w:val="22"/>
    <w:qFormat/>
    <w:rsid w:val="00AA1451"/>
    <w:rPr>
      <w:b/>
      <w:bCs/>
    </w:rPr>
  </w:style>
  <w:style w:type="character" w:styleId="Odkaznakoment">
    <w:name w:val="annotation reference"/>
    <w:basedOn w:val="Standardnpsmoodstavce"/>
    <w:uiPriority w:val="99"/>
    <w:semiHidden/>
    <w:unhideWhenUsed/>
    <w:rsid w:val="00D016EF"/>
    <w:rPr>
      <w:sz w:val="16"/>
      <w:szCs w:val="16"/>
    </w:rPr>
  </w:style>
  <w:style w:type="paragraph" w:styleId="Textkomente">
    <w:name w:val="annotation text"/>
    <w:basedOn w:val="Normln"/>
    <w:link w:val="TextkomenteChar"/>
    <w:uiPriority w:val="99"/>
    <w:semiHidden/>
    <w:unhideWhenUsed/>
    <w:rsid w:val="00D016EF"/>
    <w:pPr>
      <w:spacing w:line="240" w:lineRule="auto"/>
    </w:pPr>
    <w:rPr>
      <w:sz w:val="20"/>
      <w:szCs w:val="20"/>
    </w:rPr>
  </w:style>
  <w:style w:type="character" w:customStyle="1" w:styleId="TextkomenteChar">
    <w:name w:val="Text komentáře Char"/>
    <w:basedOn w:val="Standardnpsmoodstavce"/>
    <w:link w:val="Textkomente"/>
    <w:uiPriority w:val="99"/>
    <w:semiHidden/>
    <w:rsid w:val="00D016EF"/>
    <w:rPr>
      <w:sz w:val="20"/>
      <w:szCs w:val="20"/>
    </w:rPr>
  </w:style>
  <w:style w:type="paragraph" w:styleId="Pedmtkomente">
    <w:name w:val="annotation subject"/>
    <w:basedOn w:val="Textkomente"/>
    <w:next w:val="Textkomente"/>
    <w:link w:val="PedmtkomenteChar"/>
    <w:uiPriority w:val="99"/>
    <w:semiHidden/>
    <w:unhideWhenUsed/>
    <w:rsid w:val="00D016EF"/>
    <w:rPr>
      <w:b/>
      <w:bCs/>
    </w:rPr>
  </w:style>
  <w:style w:type="character" w:customStyle="1" w:styleId="PedmtkomenteChar">
    <w:name w:val="Předmět komentáře Char"/>
    <w:basedOn w:val="TextkomenteChar"/>
    <w:link w:val="Pedmtkomente"/>
    <w:uiPriority w:val="99"/>
    <w:semiHidden/>
    <w:rsid w:val="00D016EF"/>
    <w:rPr>
      <w:b/>
      <w:bCs/>
      <w:sz w:val="20"/>
      <w:szCs w:val="20"/>
    </w:rPr>
  </w:style>
  <w:style w:type="paragraph" w:styleId="Textbubliny">
    <w:name w:val="Balloon Text"/>
    <w:basedOn w:val="Normln"/>
    <w:link w:val="TextbublinyChar"/>
    <w:uiPriority w:val="99"/>
    <w:semiHidden/>
    <w:unhideWhenUsed/>
    <w:rsid w:val="00D016EF"/>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D016EF"/>
    <w:rPr>
      <w:rFonts w:ascii="Times New Roman" w:hAnsi="Times New Roman" w:cs="Times New Roman"/>
      <w:sz w:val="18"/>
      <w:szCs w:val="18"/>
    </w:rPr>
  </w:style>
  <w:style w:type="character" w:styleId="Sledovanodkaz">
    <w:name w:val="FollowedHyperlink"/>
    <w:basedOn w:val="Standardnpsmoodstavce"/>
    <w:uiPriority w:val="99"/>
    <w:semiHidden/>
    <w:unhideWhenUsed/>
    <w:rsid w:val="00AB6A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8904">
      <w:bodyDiv w:val="1"/>
      <w:marLeft w:val="0"/>
      <w:marRight w:val="0"/>
      <w:marTop w:val="0"/>
      <w:marBottom w:val="0"/>
      <w:divBdr>
        <w:top w:val="none" w:sz="0" w:space="0" w:color="auto"/>
        <w:left w:val="none" w:sz="0" w:space="0" w:color="auto"/>
        <w:bottom w:val="none" w:sz="0" w:space="0" w:color="auto"/>
        <w:right w:val="none" w:sz="0" w:space="0" w:color="auto"/>
      </w:divBdr>
    </w:div>
    <w:div w:id="75789849">
      <w:bodyDiv w:val="1"/>
      <w:marLeft w:val="0"/>
      <w:marRight w:val="0"/>
      <w:marTop w:val="0"/>
      <w:marBottom w:val="0"/>
      <w:divBdr>
        <w:top w:val="none" w:sz="0" w:space="0" w:color="auto"/>
        <w:left w:val="none" w:sz="0" w:space="0" w:color="auto"/>
        <w:bottom w:val="none" w:sz="0" w:space="0" w:color="auto"/>
        <w:right w:val="none" w:sz="0" w:space="0" w:color="auto"/>
      </w:divBdr>
    </w:div>
    <w:div w:id="229733064">
      <w:bodyDiv w:val="1"/>
      <w:marLeft w:val="0"/>
      <w:marRight w:val="0"/>
      <w:marTop w:val="0"/>
      <w:marBottom w:val="0"/>
      <w:divBdr>
        <w:top w:val="none" w:sz="0" w:space="0" w:color="auto"/>
        <w:left w:val="none" w:sz="0" w:space="0" w:color="auto"/>
        <w:bottom w:val="none" w:sz="0" w:space="0" w:color="auto"/>
        <w:right w:val="none" w:sz="0" w:space="0" w:color="auto"/>
      </w:divBdr>
    </w:div>
    <w:div w:id="241335707">
      <w:bodyDiv w:val="1"/>
      <w:marLeft w:val="0"/>
      <w:marRight w:val="0"/>
      <w:marTop w:val="0"/>
      <w:marBottom w:val="0"/>
      <w:divBdr>
        <w:top w:val="none" w:sz="0" w:space="0" w:color="auto"/>
        <w:left w:val="none" w:sz="0" w:space="0" w:color="auto"/>
        <w:bottom w:val="none" w:sz="0" w:space="0" w:color="auto"/>
        <w:right w:val="none" w:sz="0" w:space="0" w:color="auto"/>
      </w:divBdr>
    </w:div>
    <w:div w:id="340739640">
      <w:bodyDiv w:val="1"/>
      <w:marLeft w:val="0"/>
      <w:marRight w:val="0"/>
      <w:marTop w:val="0"/>
      <w:marBottom w:val="0"/>
      <w:divBdr>
        <w:top w:val="none" w:sz="0" w:space="0" w:color="auto"/>
        <w:left w:val="none" w:sz="0" w:space="0" w:color="auto"/>
        <w:bottom w:val="none" w:sz="0" w:space="0" w:color="auto"/>
        <w:right w:val="none" w:sz="0" w:space="0" w:color="auto"/>
      </w:divBdr>
    </w:div>
    <w:div w:id="451096092">
      <w:bodyDiv w:val="1"/>
      <w:marLeft w:val="0"/>
      <w:marRight w:val="0"/>
      <w:marTop w:val="0"/>
      <w:marBottom w:val="0"/>
      <w:divBdr>
        <w:top w:val="none" w:sz="0" w:space="0" w:color="auto"/>
        <w:left w:val="none" w:sz="0" w:space="0" w:color="auto"/>
        <w:bottom w:val="none" w:sz="0" w:space="0" w:color="auto"/>
        <w:right w:val="none" w:sz="0" w:space="0" w:color="auto"/>
      </w:divBdr>
    </w:div>
    <w:div w:id="478225966">
      <w:bodyDiv w:val="1"/>
      <w:marLeft w:val="0"/>
      <w:marRight w:val="0"/>
      <w:marTop w:val="0"/>
      <w:marBottom w:val="0"/>
      <w:divBdr>
        <w:top w:val="none" w:sz="0" w:space="0" w:color="auto"/>
        <w:left w:val="none" w:sz="0" w:space="0" w:color="auto"/>
        <w:bottom w:val="none" w:sz="0" w:space="0" w:color="auto"/>
        <w:right w:val="none" w:sz="0" w:space="0" w:color="auto"/>
      </w:divBdr>
      <w:divsChild>
        <w:div w:id="660500665">
          <w:marLeft w:val="0"/>
          <w:marRight w:val="0"/>
          <w:marTop w:val="0"/>
          <w:marBottom w:val="0"/>
          <w:divBdr>
            <w:top w:val="none" w:sz="0" w:space="0" w:color="auto"/>
            <w:left w:val="none" w:sz="0" w:space="0" w:color="auto"/>
            <w:bottom w:val="none" w:sz="0" w:space="0" w:color="auto"/>
            <w:right w:val="none" w:sz="0" w:space="0" w:color="auto"/>
          </w:divBdr>
          <w:divsChild>
            <w:div w:id="1156458757">
              <w:marLeft w:val="0"/>
              <w:marRight w:val="0"/>
              <w:marTop w:val="0"/>
              <w:marBottom w:val="0"/>
              <w:divBdr>
                <w:top w:val="none" w:sz="0" w:space="0" w:color="auto"/>
                <w:left w:val="none" w:sz="0" w:space="0" w:color="auto"/>
                <w:bottom w:val="none" w:sz="0" w:space="0" w:color="auto"/>
                <w:right w:val="none" w:sz="0" w:space="0" w:color="auto"/>
              </w:divBdr>
              <w:divsChild>
                <w:div w:id="7883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5620">
      <w:bodyDiv w:val="1"/>
      <w:marLeft w:val="0"/>
      <w:marRight w:val="0"/>
      <w:marTop w:val="0"/>
      <w:marBottom w:val="0"/>
      <w:divBdr>
        <w:top w:val="none" w:sz="0" w:space="0" w:color="auto"/>
        <w:left w:val="none" w:sz="0" w:space="0" w:color="auto"/>
        <w:bottom w:val="none" w:sz="0" w:space="0" w:color="auto"/>
        <w:right w:val="none" w:sz="0" w:space="0" w:color="auto"/>
      </w:divBdr>
    </w:div>
    <w:div w:id="540243783">
      <w:bodyDiv w:val="1"/>
      <w:marLeft w:val="0"/>
      <w:marRight w:val="0"/>
      <w:marTop w:val="0"/>
      <w:marBottom w:val="0"/>
      <w:divBdr>
        <w:top w:val="none" w:sz="0" w:space="0" w:color="auto"/>
        <w:left w:val="none" w:sz="0" w:space="0" w:color="auto"/>
        <w:bottom w:val="none" w:sz="0" w:space="0" w:color="auto"/>
        <w:right w:val="none" w:sz="0" w:space="0" w:color="auto"/>
      </w:divBdr>
    </w:div>
    <w:div w:id="588658654">
      <w:bodyDiv w:val="1"/>
      <w:marLeft w:val="0"/>
      <w:marRight w:val="0"/>
      <w:marTop w:val="0"/>
      <w:marBottom w:val="0"/>
      <w:divBdr>
        <w:top w:val="none" w:sz="0" w:space="0" w:color="auto"/>
        <w:left w:val="none" w:sz="0" w:space="0" w:color="auto"/>
        <w:bottom w:val="none" w:sz="0" w:space="0" w:color="auto"/>
        <w:right w:val="none" w:sz="0" w:space="0" w:color="auto"/>
      </w:divBdr>
    </w:div>
    <w:div w:id="608895529">
      <w:bodyDiv w:val="1"/>
      <w:marLeft w:val="0"/>
      <w:marRight w:val="0"/>
      <w:marTop w:val="0"/>
      <w:marBottom w:val="0"/>
      <w:divBdr>
        <w:top w:val="none" w:sz="0" w:space="0" w:color="auto"/>
        <w:left w:val="none" w:sz="0" w:space="0" w:color="auto"/>
        <w:bottom w:val="none" w:sz="0" w:space="0" w:color="auto"/>
        <w:right w:val="none" w:sz="0" w:space="0" w:color="auto"/>
      </w:divBdr>
    </w:div>
    <w:div w:id="665866673">
      <w:bodyDiv w:val="1"/>
      <w:marLeft w:val="0"/>
      <w:marRight w:val="0"/>
      <w:marTop w:val="0"/>
      <w:marBottom w:val="0"/>
      <w:divBdr>
        <w:top w:val="none" w:sz="0" w:space="0" w:color="auto"/>
        <w:left w:val="none" w:sz="0" w:space="0" w:color="auto"/>
        <w:bottom w:val="none" w:sz="0" w:space="0" w:color="auto"/>
        <w:right w:val="none" w:sz="0" w:space="0" w:color="auto"/>
      </w:divBdr>
    </w:div>
    <w:div w:id="768887147">
      <w:bodyDiv w:val="1"/>
      <w:marLeft w:val="0"/>
      <w:marRight w:val="0"/>
      <w:marTop w:val="0"/>
      <w:marBottom w:val="0"/>
      <w:divBdr>
        <w:top w:val="none" w:sz="0" w:space="0" w:color="auto"/>
        <w:left w:val="none" w:sz="0" w:space="0" w:color="auto"/>
        <w:bottom w:val="none" w:sz="0" w:space="0" w:color="auto"/>
        <w:right w:val="none" w:sz="0" w:space="0" w:color="auto"/>
      </w:divBdr>
    </w:div>
    <w:div w:id="950556488">
      <w:bodyDiv w:val="1"/>
      <w:marLeft w:val="0"/>
      <w:marRight w:val="0"/>
      <w:marTop w:val="0"/>
      <w:marBottom w:val="0"/>
      <w:divBdr>
        <w:top w:val="none" w:sz="0" w:space="0" w:color="auto"/>
        <w:left w:val="none" w:sz="0" w:space="0" w:color="auto"/>
        <w:bottom w:val="none" w:sz="0" w:space="0" w:color="auto"/>
        <w:right w:val="none" w:sz="0" w:space="0" w:color="auto"/>
      </w:divBdr>
    </w:div>
    <w:div w:id="1108621736">
      <w:bodyDiv w:val="1"/>
      <w:marLeft w:val="0"/>
      <w:marRight w:val="0"/>
      <w:marTop w:val="0"/>
      <w:marBottom w:val="0"/>
      <w:divBdr>
        <w:top w:val="none" w:sz="0" w:space="0" w:color="auto"/>
        <w:left w:val="none" w:sz="0" w:space="0" w:color="auto"/>
        <w:bottom w:val="none" w:sz="0" w:space="0" w:color="auto"/>
        <w:right w:val="none" w:sz="0" w:space="0" w:color="auto"/>
      </w:divBdr>
    </w:div>
    <w:div w:id="1112895254">
      <w:bodyDiv w:val="1"/>
      <w:marLeft w:val="0"/>
      <w:marRight w:val="0"/>
      <w:marTop w:val="0"/>
      <w:marBottom w:val="0"/>
      <w:divBdr>
        <w:top w:val="none" w:sz="0" w:space="0" w:color="auto"/>
        <w:left w:val="none" w:sz="0" w:space="0" w:color="auto"/>
        <w:bottom w:val="none" w:sz="0" w:space="0" w:color="auto"/>
        <w:right w:val="none" w:sz="0" w:space="0" w:color="auto"/>
      </w:divBdr>
    </w:div>
    <w:div w:id="1193810779">
      <w:bodyDiv w:val="1"/>
      <w:marLeft w:val="0"/>
      <w:marRight w:val="0"/>
      <w:marTop w:val="0"/>
      <w:marBottom w:val="0"/>
      <w:divBdr>
        <w:top w:val="none" w:sz="0" w:space="0" w:color="auto"/>
        <w:left w:val="none" w:sz="0" w:space="0" w:color="auto"/>
        <w:bottom w:val="none" w:sz="0" w:space="0" w:color="auto"/>
        <w:right w:val="none" w:sz="0" w:space="0" w:color="auto"/>
      </w:divBdr>
    </w:div>
    <w:div w:id="1398938975">
      <w:bodyDiv w:val="1"/>
      <w:marLeft w:val="0"/>
      <w:marRight w:val="0"/>
      <w:marTop w:val="0"/>
      <w:marBottom w:val="0"/>
      <w:divBdr>
        <w:top w:val="none" w:sz="0" w:space="0" w:color="auto"/>
        <w:left w:val="none" w:sz="0" w:space="0" w:color="auto"/>
        <w:bottom w:val="none" w:sz="0" w:space="0" w:color="auto"/>
        <w:right w:val="none" w:sz="0" w:space="0" w:color="auto"/>
      </w:divBdr>
    </w:div>
    <w:div w:id="1448086353">
      <w:bodyDiv w:val="1"/>
      <w:marLeft w:val="0"/>
      <w:marRight w:val="0"/>
      <w:marTop w:val="0"/>
      <w:marBottom w:val="0"/>
      <w:divBdr>
        <w:top w:val="none" w:sz="0" w:space="0" w:color="auto"/>
        <w:left w:val="none" w:sz="0" w:space="0" w:color="auto"/>
        <w:bottom w:val="none" w:sz="0" w:space="0" w:color="auto"/>
        <w:right w:val="none" w:sz="0" w:space="0" w:color="auto"/>
      </w:divBdr>
    </w:div>
    <w:div w:id="1581796558">
      <w:bodyDiv w:val="1"/>
      <w:marLeft w:val="0"/>
      <w:marRight w:val="0"/>
      <w:marTop w:val="0"/>
      <w:marBottom w:val="0"/>
      <w:divBdr>
        <w:top w:val="none" w:sz="0" w:space="0" w:color="auto"/>
        <w:left w:val="none" w:sz="0" w:space="0" w:color="auto"/>
        <w:bottom w:val="none" w:sz="0" w:space="0" w:color="auto"/>
        <w:right w:val="none" w:sz="0" w:space="0" w:color="auto"/>
      </w:divBdr>
    </w:div>
    <w:div w:id="1678775324">
      <w:bodyDiv w:val="1"/>
      <w:marLeft w:val="0"/>
      <w:marRight w:val="0"/>
      <w:marTop w:val="0"/>
      <w:marBottom w:val="0"/>
      <w:divBdr>
        <w:top w:val="none" w:sz="0" w:space="0" w:color="auto"/>
        <w:left w:val="none" w:sz="0" w:space="0" w:color="auto"/>
        <w:bottom w:val="none" w:sz="0" w:space="0" w:color="auto"/>
        <w:right w:val="none" w:sz="0" w:space="0" w:color="auto"/>
      </w:divBdr>
    </w:div>
    <w:div w:id="1947733582">
      <w:bodyDiv w:val="1"/>
      <w:marLeft w:val="0"/>
      <w:marRight w:val="0"/>
      <w:marTop w:val="0"/>
      <w:marBottom w:val="0"/>
      <w:divBdr>
        <w:top w:val="none" w:sz="0" w:space="0" w:color="auto"/>
        <w:left w:val="none" w:sz="0" w:space="0" w:color="auto"/>
        <w:bottom w:val="none" w:sz="0" w:space="0" w:color="auto"/>
        <w:right w:val="none" w:sz="0" w:space="0" w:color="auto"/>
      </w:divBdr>
    </w:div>
    <w:div w:id="2081320118">
      <w:bodyDiv w:val="1"/>
      <w:marLeft w:val="0"/>
      <w:marRight w:val="0"/>
      <w:marTop w:val="0"/>
      <w:marBottom w:val="0"/>
      <w:divBdr>
        <w:top w:val="none" w:sz="0" w:space="0" w:color="auto"/>
        <w:left w:val="none" w:sz="0" w:space="0" w:color="auto"/>
        <w:bottom w:val="none" w:sz="0" w:space="0" w:color="auto"/>
        <w:right w:val="none" w:sz="0" w:space="0" w:color="auto"/>
      </w:divBdr>
    </w:div>
    <w:div w:id="21359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537</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Ministerstvo vnitra ČR</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Renata Blažková</cp:lastModifiedBy>
  <cp:revision>7</cp:revision>
  <dcterms:created xsi:type="dcterms:W3CDTF">2021-06-09T12:36:00Z</dcterms:created>
  <dcterms:modified xsi:type="dcterms:W3CDTF">2021-06-10T15:16:00Z</dcterms:modified>
</cp:coreProperties>
</file>